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4" w:type="dxa"/>
        <w:tblLayout w:type="fixed"/>
        <w:tblLook w:val="04A0" w:firstRow="1" w:lastRow="0" w:firstColumn="1" w:lastColumn="0" w:noHBand="0" w:noVBand="1"/>
      </w:tblPr>
      <w:tblGrid>
        <w:gridCol w:w="1522"/>
        <w:gridCol w:w="6972"/>
      </w:tblGrid>
      <w:tr w:rsidR="00A8006C" w14:paraId="7BB4F9CE" w14:textId="7777777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9D171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54DD27" w14:textId="77777777" w:rsidR="00A8006C" w:rsidRDefault="004C38F0">
            <w:pPr>
              <w:widowControl w:val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DESENVOLVIMENTO DE PRODUTOS E INOVAÇÃO TECNOLÓGICA</w:t>
            </w:r>
          </w:p>
        </w:tc>
      </w:tr>
      <w:tr w:rsidR="00A8006C" w14:paraId="6AB66F22" w14:textId="7777777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4F77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7D59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CTA 501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8006C" w14:paraId="2A98BEE1" w14:textId="7777777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6735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4E25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45h (3 créditos)</w:t>
            </w:r>
          </w:p>
        </w:tc>
      </w:tr>
      <w:tr w:rsidR="00A8006C" w14:paraId="58202DBD" w14:textId="7777777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849F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9B28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Desenvolvimento de produtos e tendências alimentares. Ciclo do desenvolvimento de novos produtos. Comportamento do consumidor e do distribuidor de alimentos. Marketing aplicado aos novos produtos. Análise sensorial: ferramenta para o desenvolvimento de produtos. Inovação: conceitos e tipologia. Modelos de inovação. Conceitos e relação entre ciência, tecnologia e inovação. Cooperação entre instituições de ensino/pesquisa e empresas. Propriedade intelectual e industrial. Patentes. Marcas. Desenho industrial. Indicação geográfica. Direito Autoral. Programa de Computador. Transferência de tecnologia. Papel dos núcleos de inovação tecnológica.</w:t>
            </w:r>
          </w:p>
        </w:tc>
      </w:tr>
      <w:tr w:rsidR="00A8006C" w:rsidRPr="001B76BF" w14:paraId="4986359F" w14:textId="77777777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E30" w14:textId="77777777" w:rsidR="00A8006C" w:rsidRDefault="004C38F0">
            <w:pPr>
              <w:pStyle w:val="Corpodetexto"/>
              <w:widowControl w:val="0"/>
              <w:spacing w:after="0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7CCF" w14:textId="1515DA12" w:rsidR="001B76BF" w:rsidRDefault="001B76BF" w:rsidP="001B76BF">
            <w:pPr>
              <w:pStyle w:val="Corpodetexto"/>
              <w:widowControl w:val="0"/>
              <w:spacing w:after="0"/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1. 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Barbara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Bigliardi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Serena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Filippelli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. Chapter 2 – Open innovation and incorporation between academia and food industry. </w:t>
            </w:r>
            <w:r>
              <w:rPr>
                <w:rStyle w:val="nfase"/>
                <w:b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Innovation Strategies in the Food industry 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(second edition).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Editora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Style w:val="nfase"/>
                <w:b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Academic Press, 2022. p 17-</w:t>
            </w:r>
            <w:proofErr w:type="gram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37.https://doi.org/10.1016/B978-0-323-85203-6.00003-7</w:t>
            </w:r>
            <w:proofErr w:type="gram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.</w:t>
            </w:r>
          </w:p>
          <w:p w14:paraId="644DFBD2" w14:textId="77777777" w:rsidR="001B76BF" w:rsidRDefault="001B76BF" w:rsidP="001B76BF">
            <w:pPr>
              <w:pStyle w:val="Corpodetexto"/>
              <w:widowControl w:val="0"/>
              <w:spacing w:after="0"/>
              <w:rPr>
                <w:sz w:val="22"/>
                <w:szCs w:val="22"/>
                <w:lang w:val="en-US"/>
              </w:rPr>
            </w:pPr>
          </w:p>
          <w:p w14:paraId="61117BFE" w14:textId="49B7BF38" w:rsidR="001B76BF" w:rsidRDefault="001B76BF" w:rsidP="001B76BF">
            <w:pPr>
              <w:widowControl w:val="0"/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2. 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Gustavo Cabrera-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Barjas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Aparna Banerjee, Oscar Valdes, Mauricio Moncada, Abdul R.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Sirajunnisa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Duraiarasan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Surendhiran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Geethalakshmi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Ramakrishnan,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Nivaz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S. Rani, Masoud Hamidi,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Pouya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S.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Kozani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Pooria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S.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Kozani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Paula J. P.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Espitia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Carlos A.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Fuenmayor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Guillaume Pierre, Philippe Michaud, Paolina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Lukova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, Cédric Delattre. Chapter 39: Food biotechnology: Innovations and challenges. </w:t>
            </w:r>
            <w:r>
              <w:rPr>
                <w:rStyle w:val="nfase"/>
                <w:b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Future Foods.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Editora</w:t>
            </w:r>
            <w:proofErr w:type="spellEnd"/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Style w:val="nfase"/>
                <w:b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Academic Press, 2022. p 697-719. </w:t>
            </w:r>
            <w:hyperlink r:id="rId5" w:history="1">
              <w:r w:rsidRPr="000E6353">
                <w:rPr>
                  <w:rStyle w:val="Hyperlink"/>
                  <w:sz w:val="22"/>
                  <w:szCs w:val="22"/>
                  <w:lang w:val="en-US"/>
                </w:rPr>
                <w:t>https://doi.org/10.1016/B978-0-323-91001-9.00038-4</w:t>
              </w:r>
            </w:hyperlink>
            <w:r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  <w:t>.</w:t>
            </w:r>
          </w:p>
          <w:p w14:paraId="1D0147AD" w14:textId="1903873D" w:rsidR="001B76BF" w:rsidRDefault="001B76BF" w:rsidP="001B76BF">
            <w:pPr>
              <w:widowControl w:val="0"/>
              <w:rPr>
                <w:rStyle w:val="nfase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</w:p>
          <w:p w14:paraId="62F05D6D" w14:textId="0B057B24" w:rsidR="001B76BF" w:rsidRDefault="001B76BF" w:rsidP="001B76BF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3. </w:t>
            </w:r>
            <w:r>
              <w:rPr>
                <w:sz w:val="22"/>
                <w:szCs w:val="22"/>
                <w:lang w:val="en-US"/>
              </w:rPr>
              <w:t xml:space="preserve">MATTSON, C.A.; SORENSEN, C.D. Product development: Principles and tools for creating desirable and transferable. </w:t>
            </w:r>
            <w:proofErr w:type="spellStart"/>
            <w:r>
              <w:rPr>
                <w:sz w:val="22"/>
                <w:szCs w:val="22"/>
                <w:lang w:val="en-US"/>
              </w:rPr>
              <w:t>Editora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Springer. 2020. 365p. </w:t>
            </w:r>
          </w:p>
          <w:p w14:paraId="73DC8544" w14:textId="77777777" w:rsidR="001B76BF" w:rsidRPr="001B76BF" w:rsidRDefault="001B76BF" w:rsidP="003953FF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D33D9B1" w14:textId="4D535746" w:rsidR="00A8006C" w:rsidRDefault="001B76BF" w:rsidP="003953FF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4C38F0" w:rsidRPr="004C38F0">
              <w:rPr>
                <w:sz w:val="22"/>
                <w:szCs w:val="22"/>
              </w:rPr>
              <w:t xml:space="preserve">Paulo E.S. </w:t>
            </w:r>
            <w:proofErr w:type="spellStart"/>
            <w:r w:rsidR="004C38F0" w:rsidRPr="004C38F0">
              <w:rPr>
                <w:sz w:val="22"/>
                <w:szCs w:val="22"/>
              </w:rPr>
              <w:t>Munekata</w:t>
            </w:r>
            <w:proofErr w:type="spellEnd"/>
            <w:r w:rsidR="004C38F0" w:rsidRPr="004C38F0">
              <w:rPr>
                <w:sz w:val="22"/>
                <w:szCs w:val="22"/>
              </w:rPr>
              <w:t xml:space="preserve">, Mirian Pateiro, Francisco J. Barba, Rubén </w:t>
            </w:r>
            <w:proofErr w:type="spellStart"/>
            <w:r w:rsidR="004C38F0" w:rsidRPr="004C38F0">
              <w:rPr>
                <w:sz w:val="22"/>
                <w:szCs w:val="22"/>
              </w:rPr>
              <w:t>Dominguéz</w:t>
            </w:r>
            <w:proofErr w:type="spellEnd"/>
            <w:r w:rsidR="004C38F0" w:rsidRPr="004C38F0">
              <w:rPr>
                <w:sz w:val="22"/>
                <w:szCs w:val="22"/>
              </w:rPr>
              <w:t xml:space="preserve">, Mohammed </w:t>
            </w:r>
            <w:proofErr w:type="spellStart"/>
            <w:r w:rsidR="004C38F0" w:rsidRPr="004C38F0">
              <w:rPr>
                <w:sz w:val="22"/>
                <w:szCs w:val="22"/>
              </w:rPr>
              <w:t>Gagaoua</w:t>
            </w:r>
            <w:proofErr w:type="spellEnd"/>
            <w:r w:rsidR="004C38F0" w:rsidRPr="004C38F0">
              <w:rPr>
                <w:sz w:val="22"/>
                <w:szCs w:val="22"/>
              </w:rPr>
              <w:t xml:space="preserve">, José M. Lorenzo. </w:t>
            </w:r>
            <w:r w:rsidR="004C38F0">
              <w:rPr>
                <w:sz w:val="22"/>
                <w:szCs w:val="22"/>
                <w:lang w:val="en-US"/>
              </w:rPr>
              <w:t xml:space="preserve">Chapter Three - Development of new food and pharmaceutical products: Nutraceuticals and food additives. In: Lorenzo, J. M.; Barba, F. J. (org). </w:t>
            </w:r>
            <w:r w:rsidR="004C38F0">
              <w:rPr>
                <w:b/>
                <w:bCs/>
                <w:sz w:val="22"/>
                <w:szCs w:val="22"/>
                <w:lang w:val="en-US"/>
              </w:rPr>
              <w:t xml:space="preserve">Advances in Food and Nutrition Research. </w:t>
            </w:r>
            <w:proofErr w:type="spellStart"/>
            <w:r w:rsidR="004C38F0">
              <w:rPr>
                <w:sz w:val="22"/>
                <w:szCs w:val="22"/>
                <w:lang w:val="en-US"/>
              </w:rPr>
              <w:t>Editora</w:t>
            </w:r>
            <w:proofErr w:type="spellEnd"/>
            <w:r w:rsidR="004C38F0">
              <w:rPr>
                <w:sz w:val="22"/>
                <w:szCs w:val="22"/>
                <w:lang w:val="en-US"/>
              </w:rPr>
              <w:t>:</w:t>
            </w:r>
            <w:r w:rsidR="004C38F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C38F0">
              <w:rPr>
                <w:sz w:val="22"/>
                <w:szCs w:val="22"/>
                <w:lang w:val="en-US"/>
              </w:rPr>
              <w:t xml:space="preserve">Academic Press, 2020. p 53-96. </w:t>
            </w:r>
            <w:hyperlink r:id="rId6">
              <w:r w:rsidR="004C38F0">
                <w:rPr>
                  <w:rStyle w:val="Hyperlink"/>
                  <w:sz w:val="22"/>
                  <w:szCs w:val="22"/>
                  <w:lang w:val="en-US"/>
                </w:rPr>
                <w:t>https://doi.org/10.1016/bs.afnr.2019.12.001</w:t>
              </w:r>
            </w:hyperlink>
            <w:r w:rsidR="004C38F0">
              <w:rPr>
                <w:sz w:val="22"/>
                <w:szCs w:val="22"/>
                <w:lang w:val="en-US"/>
              </w:rPr>
              <w:t>.</w:t>
            </w:r>
          </w:p>
          <w:p w14:paraId="4CBB6250" w14:textId="77777777" w:rsidR="001B76BF" w:rsidRDefault="001B76BF" w:rsidP="003953FF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1118E1F" w14:textId="4A99556B" w:rsidR="00A8006C" w:rsidRDefault="001B76BF" w:rsidP="001B76BF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5. </w:t>
            </w:r>
            <w:r w:rsidR="004C38F0">
              <w:rPr>
                <w:sz w:val="22"/>
                <w:szCs w:val="22"/>
                <w:lang w:val="en-US"/>
              </w:rPr>
              <w:t xml:space="preserve">RIDLEY, M. How innovation works: And why it flourishes in freedom. </w:t>
            </w:r>
            <w:proofErr w:type="spellStart"/>
            <w:r w:rsidR="004C38F0">
              <w:rPr>
                <w:sz w:val="22"/>
                <w:szCs w:val="22"/>
                <w:lang w:val="en-US"/>
              </w:rPr>
              <w:t>Editora</w:t>
            </w:r>
            <w:proofErr w:type="spellEnd"/>
            <w:r w:rsidR="004C38F0">
              <w:rPr>
                <w:sz w:val="22"/>
                <w:szCs w:val="22"/>
                <w:lang w:val="en-US"/>
              </w:rPr>
              <w:t xml:space="preserve"> Harper. 2020. 416p.</w:t>
            </w:r>
          </w:p>
        </w:tc>
      </w:tr>
    </w:tbl>
    <w:p w14:paraId="3CC3E011" w14:textId="77777777" w:rsidR="00A8006C" w:rsidRPr="004C38F0" w:rsidRDefault="00A8006C">
      <w:pPr>
        <w:rPr>
          <w:lang w:val="en-US"/>
        </w:rPr>
      </w:pPr>
    </w:p>
    <w:sectPr w:rsidR="00A8006C" w:rsidRPr="004C38F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2ED9"/>
    <w:multiLevelType w:val="multilevel"/>
    <w:tmpl w:val="F71EC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E17866"/>
    <w:multiLevelType w:val="multilevel"/>
    <w:tmpl w:val="4D2E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6C"/>
    <w:rsid w:val="001B76BF"/>
    <w:rsid w:val="003953FF"/>
    <w:rsid w:val="004C38F0"/>
    <w:rsid w:val="00A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C5700"/>
  <w15:docId w15:val="{041CADEB-08B9-481F-BBFE-71ACC1C1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40"/>
    <w:pPr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A7B40"/>
    <w:rPr>
      <w:rFonts w:ascii="Arial" w:eastAsia="Times New Roman" w:hAnsi="Arial" w:cs="Arial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DE33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E33F4"/>
    <w:rPr>
      <w:color w:val="605E5C"/>
      <w:shd w:val="clear" w:color="auto" w:fill="E1DFDD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9A7B40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bs.afnr.2019.12.001" TargetMode="External"/><Relationship Id="rId5" Type="http://schemas.openxmlformats.org/officeDocument/2006/relationships/hyperlink" Target="https://doi.org/10.1016/B978-0-323-91001-9.00038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1900</Characters>
  <Application>Microsoft Office Word</Application>
  <DocSecurity>0</DocSecurity>
  <Lines>48</Lines>
  <Paragraphs>14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dc:description/>
  <cp:lastModifiedBy>Maurilio Lopes Martins</cp:lastModifiedBy>
  <cp:revision>4</cp:revision>
  <dcterms:created xsi:type="dcterms:W3CDTF">2024-12-13T20:12:00Z</dcterms:created>
  <dcterms:modified xsi:type="dcterms:W3CDTF">2025-02-27T12:48:00Z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a57c8a107c2e6f4795aab7042bf19851ec23cb8f1f56da2150bc01ffaaddef15</vt:lpwstr>
  </property>
</Properties>
</file>